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C1C95">
      <w:pPr>
        <w:spacing w:line="576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3881B55B"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常年法律顾问服务评价标准</w:t>
      </w:r>
    </w:p>
    <w:tbl>
      <w:tblPr>
        <w:tblStyle w:val="13"/>
        <w:tblW w:w="130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2099"/>
        <w:gridCol w:w="8378"/>
        <w:gridCol w:w="983"/>
      </w:tblGrid>
      <w:tr w14:paraId="063F99F2">
        <w:trPr>
          <w:tblHeader/>
        </w:trPr>
        <w:tc>
          <w:tcPr>
            <w:tcW w:w="1597" w:type="dxa"/>
            <w:vAlign w:val="top"/>
          </w:tcPr>
          <w:p w14:paraId="03E50CE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lang w:val="en-US" w:eastAsia="zh-CN" w:bidi="ar"/>
              </w:rPr>
              <w:t>评价维度</w:t>
            </w:r>
          </w:p>
        </w:tc>
        <w:tc>
          <w:tcPr>
            <w:tcW w:w="2099" w:type="dxa"/>
            <w:vAlign w:val="top"/>
          </w:tcPr>
          <w:p w14:paraId="7618ECE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lang w:val="en-US" w:eastAsia="zh-CN" w:bidi="ar"/>
              </w:rPr>
              <w:t>具体评价指标</w:t>
            </w:r>
          </w:p>
        </w:tc>
        <w:tc>
          <w:tcPr>
            <w:tcW w:w="8378" w:type="dxa"/>
            <w:vAlign w:val="top"/>
          </w:tcPr>
          <w:p w14:paraId="5E8ED6B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lang w:val="en-US" w:eastAsia="zh-CN" w:bidi="ar"/>
              </w:rPr>
              <w:t>评分标准（总分100分）</w:t>
            </w:r>
          </w:p>
        </w:tc>
        <w:tc>
          <w:tcPr>
            <w:tcW w:w="983" w:type="dxa"/>
            <w:vAlign w:val="top"/>
          </w:tcPr>
          <w:p w14:paraId="358A8F4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lang w:val="en-US" w:eastAsia="zh-CN" w:bidi="ar"/>
              </w:rPr>
              <w:t>分值</w:t>
            </w:r>
          </w:p>
        </w:tc>
      </w:tr>
      <w:tr w14:paraId="75277E5D">
        <w:tc>
          <w:tcPr>
            <w:tcW w:w="1597" w:type="dxa"/>
            <w:vMerge w:val="restart"/>
            <w:vAlign w:val="center"/>
          </w:tcPr>
          <w:p w14:paraId="18C72A8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一、服务成果（40分）</w:t>
            </w:r>
          </w:p>
        </w:tc>
        <w:tc>
          <w:tcPr>
            <w:tcW w:w="2099" w:type="dxa"/>
            <w:vAlign w:val="center"/>
          </w:tcPr>
          <w:p w14:paraId="1BFF93A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公司制度审查</w:t>
            </w:r>
          </w:p>
        </w:tc>
        <w:tc>
          <w:tcPr>
            <w:tcW w:w="8378" w:type="dxa"/>
            <w:vAlign w:val="center"/>
          </w:tcPr>
          <w:p w14:paraId="5623D8E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13-14分：审查全面细致，精准识别制度潜在法律风险，出具的审查意见具体可行，能有效完善制度合规性；</w:t>
            </w:r>
          </w:p>
          <w:p w14:paraId="5B87203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9-12分：按要求完成审查，准确识别主要风险，意见基本适配优化需求；</w:t>
            </w:r>
          </w:p>
          <w:p w14:paraId="0E9535E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0-8分：审查流于形式，漏判关键风险，意见笼统无针对性，无法支撑制度完善。</w:t>
            </w:r>
          </w:p>
        </w:tc>
        <w:tc>
          <w:tcPr>
            <w:tcW w:w="983" w:type="dxa"/>
            <w:vAlign w:val="center"/>
          </w:tcPr>
          <w:p w14:paraId="72266D9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</w:tr>
      <w:tr w14:paraId="0CE43CBE">
        <w:tc>
          <w:tcPr>
            <w:tcW w:w="1597" w:type="dxa"/>
            <w:vMerge w:val="continue"/>
            <w:vAlign w:val="center"/>
          </w:tcPr>
          <w:p w14:paraId="3C56881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99" w:type="dxa"/>
            <w:vAlign w:val="center"/>
          </w:tcPr>
          <w:p w14:paraId="5BAA174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合同及合伙协议审查</w:t>
            </w:r>
          </w:p>
        </w:tc>
        <w:tc>
          <w:tcPr>
            <w:tcW w:w="8378" w:type="dxa"/>
            <w:vAlign w:val="center"/>
          </w:tcPr>
          <w:p w14:paraId="59C0535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13-14分：对各类合同、合伙协议审查严谨，条款权责划分、合规性把控到位，无法律漏洞，审查意见可直接落地；</w:t>
            </w:r>
          </w:p>
          <w:p w14:paraId="07AD8C6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9-12分：完成审查工作，核心条款风险识别到位，意见合规且无明显疏漏；</w:t>
            </w:r>
          </w:p>
          <w:p w14:paraId="74C26DD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0-8分：审查不细致，存在关键条款风险漏判，多次补充审查仍不达标。</w:t>
            </w:r>
          </w:p>
        </w:tc>
        <w:tc>
          <w:tcPr>
            <w:tcW w:w="983" w:type="dxa"/>
            <w:vAlign w:val="center"/>
          </w:tcPr>
          <w:p w14:paraId="039457F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</w:tr>
      <w:tr w14:paraId="2F13DB66">
        <w:tc>
          <w:tcPr>
            <w:tcW w:w="1597" w:type="dxa"/>
            <w:vMerge w:val="continue"/>
            <w:vAlign w:val="center"/>
          </w:tcPr>
          <w:p w14:paraId="0D7E1BD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99" w:type="dxa"/>
            <w:vAlign w:val="center"/>
          </w:tcPr>
          <w:p w14:paraId="307B063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起草审核经营所需法律文件、往来函件等</w:t>
            </w:r>
          </w:p>
        </w:tc>
        <w:tc>
          <w:tcPr>
            <w:tcW w:w="8378" w:type="dxa"/>
            <w:vAlign w:val="center"/>
          </w:tcPr>
          <w:p w14:paraId="1291458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11-12分：精准把控文件相关法律法规，全面审查文件合规性、严谨性，有效防范文件带来法律风险；</w:t>
            </w:r>
          </w:p>
          <w:p w14:paraId="2AB1D5D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7-10分：按要求完成起草、审查，基本规避重大合规风险，符合经营所需；</w:t>
            </w:r>
          </w:p>
          <w:p w14:paraId="4DCC78D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0-6分：审查存在疏漏，文件存在合规瑕疵，可能引发纠纷。</w:t>
            </w:r>
          </w:p>
        </w:tc>
        <w:tc>
          <w:tcPr>
            <w:tcW w:w="983" w:type="dxa"/>
            <w:vAlign w:val="center"/>
          </w:tcPr>
          <w:p w14:paraId="62FFC7A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</w:tr>
      <w:tr w14:paraId="0A4C1121">
        <w:trPr>
          <w:trHeight w:val="1313" w:hRule="atLeast"/>
        </w:trPr>
        <w:tc>
          <w:tcPr>
            <w:tcW w:w="1597" w:type="dxa"/>
            <w:vMerge w:val="restart"/>
            <w:vAlign w:val="center"/>
          </w:tcPr>
          <w:p w14:paraId="32CA207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二、文书质量（20分）</w:t>
            </w:r>
          </w:p>
        </w:tc>
        <w:tc>
          <w:tcPr>
            <w:tcW w:w="2099" w:type="dxa"/>
            <w:vAlign w:val="center"/>
          </w:tcPr>
          <w:p w14:paraId="750E272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文书专业性与合规性</w:t>
            </w:r>
          </w:p>
        </w:tc>
        <w:tc>
          <w:tcPr>
            <w:tcW w:w="8378" w:type="dxa"/>
            <w:vAlign w:val="center"/>
          </w:tcPr>
          <w:p w14:paraId="49FC6C9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10-11分：各类法律文书措辞严谨、逻辑清晰，完全符合法律规定，无任何漏洞；</w:t>
            </w:r>
          </w:p>
          <w:p w14:paraId="1C5BAE0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6-9分：文书质量合格，内容合规，偶有细微瑕疵需修正，不影响整体效力；</w:t>
            </w:r>
          </w:p>
          <w:p w14:paraId="3803C53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0-5分：文书存在明显法律漏洞或表述错误，多次修改仍不达标。</w:t>
            </w:r>
          </w:p>
        </w:tc>
        <w:tc>
          <w:tcPr>
            <w:tcW w:w="983" w:type="dxa"/>
            <w:vAlign w:val="center"/>
          </w:tcPr>
          <w:p w14:paraId="08BD4C9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</w:tr>
      <w:tr w14:paraId="1DDE5D82">
        <w:trPr>
          <w:trHeight w:val="987" w:hRule="atLeast"/>
        </w:trPr>
        <w:tc>
          <w:tcPr>
            <w:tcW w:w="1597" w:type="dxa"/>
            <w:vMerge w:val="continue"/>
            <w:vAlign w:val="center"/>
          </w:tcPr>
          <w:p w14:paraId="1DCAB7B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99" w:type="dxa"/>
            <w:vAlign w:val="center"/>
          </w:tcPr>
          <w:p w14:paraId="261E3C4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文书精准度与完整性</w:t>
            </w:r>
          </w:p>
        </w:tc>
        <w:tc>
          <w:tcPr>
            <w:tcW w:w="8378" w:type="dxa"/>
            <w:vAlign w:val="center"/>
          </w:tcPr>
          <w:p w14:paraId="6760975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8-9分：文书能精准匹配业务需求，要素齐全、内容完整，可直接落地使用；</w:t>
            </w:r>
          </w:p>
          <w:p w14:paraId="18E5401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4-7分：文书要素基本齐全，能满足基础需求，需小幅调整补充；</w:t>
            </w:r>
          </w:p>
          <w:p w14:paraId="2BE7F1F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0-3分：文书内容残缺，与需求偏差较大，无法直接使用。</w:t>
            </w:r>
          </w:p>
        </w:tc>
        <w:tc>
          <w:tcPr>
            <w:tcW w:w="983" w:type="dxa"/>
            <w:vAlign w:val="center"/>
          </w:tcPr>
          <w:p w14:paraId="0B156A9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</w:tr>
      <w:tr w14:paraId="564BB046">
        <w:tc>
          <w:tcPr>
            <w:tcW w:w="1597" w:type="dxa"/>
            <w:vMerge w:val="restart"/>
            <w:vAlign w:val="center"/>
          </w:tcPr>
          <w:p w14:paraId="0D81BB9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三、响应速度（20分）</w:t>
            </w:r>
          </w:p>
        </w:tc>
        <w:tc>
          <w:tcPr>
            <w:tcW w:w="2099" w:type="dxa"/>
            <w:vAlign w:val="center"/>
          </w:tcPr>
          <w:p w14:paraId="79B966B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日常事项响应</w:t>
            </w:r>
          </w:p>
        </w:tc>
        <w:tc>
          <w:tcPr>
            <w:tcW w:w="8378" w:type="dxa"/>
            <w:vAlign w:val="center"/>
          </w:tcPr>
          <w:p w14:paraId="29ED9EF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10-11分：日常咨询、文书处理等事项，2个工作日内响应并推进（一般文件1个工作日，重大文件2个工作日），按时完成率100%；</w:t>
            </w:r>
          </w:p>
          <w:p w14:paraId="36F579A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6-9分：3-4个工作日内响应（一般文件2-3个工作日，重大文件3-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4个工作日），按时完成率≥90%，不影响业务进度；</w:t>
            </w:r>
          </w:p>
          <w:p w14:paraId="7AB97F5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0-5分：响应迟缓（超过4个工作日），按时完成率＜90%，延误业务开展。</w:t>
            </w:r>
          </w:p>
        </w:tc>
        <w:tc>
          <w:tcPr>
            <w:tcW w:w="983" w:type="dxa"/>
            <w:vAlign w:val="center"/>
          </w:tcPr>
          <w:p w14:paraId="703A34D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</w:tr>
      <w:tr w14:paraId="10FCDD0B">
        <w:tc>
          <w:tcPr>
            <w:tcW w:w="1597" w:type="dxa"/>
            <w:vMerge w:val="continue"/>
            <w:vAlign w:val="center"/>
          </w:tcPr>
          <w:p w14:paraId="76378C0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99" w:type="dxa"/>
            <w:vAlign w:val="center"/>
          </w:tcPr>
          <w:p w14:paraId="65614F2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紧急事项响应</w:t>
            </w:r>
          </w:p>
        </w:tc>
        <w:tc>
          <w:tcPr>
            <w:tcW w:w="8378" w:type="dxa"/>
            <w:vAlign w:val="center"/>
          </w:tcPr>
          <w:p w14:paraId="4C91D6B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8-9分：突发法律纠纷、紧急合规审核等事项，24小时内响应，快速提供解决方案；</w:t>
            </w:r>
          </w:p>
          <w:p w14:paraId="191C72B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4-7分：48小时内响应，提供基础应对思路，不造成损失扩大；</w:t>
            </w:r>
          </w:p>
          <w:p w14:paraId="5A878FE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0-3分：响应不及时，导致事项恶化或公司权益受损。</w:t>
            </w:r>
          </w:p>
          <w:p w14:paraId="27E114B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注：若提供服务期间不存在紧急事项得满分。</w:t>
            </w:r>
          </w:p>
        </w:tc>
        <w:tc>
          <w:tcPr>
            <w:tcW w:w="983" w:type="dxa"/>
            <w:vAlign w:val="center"/>
          </w:tcPr>
          <w:p w14:paraId="0FC83A8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</w:tr>
      <w:tr w14:paraId="61070943">
        <w:tc>
          <w:tcPr>
            <w:tcW w:w="1597" w:type="dxa"/>
            <w:vMerge w:val="restart"/>
            <w:vAlign w:val="center"/>
          </w:tcPr>
          <w:p w14:paraId="0877413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四、沟通协调（20分）</w:t>
            </w:r>
          </w:p>
        </w:tc>
        <w:tc>
          <w:tcPr>
            <w:tcW w:w="2099" w:type="dxa"/>
            <w:vAlign w:val="center"/>
          </w:tcPr>
          <w:p w14:paraId="5EEAD92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外部沟通协调</w:t>
            </w:r>
          </w:p>
        </w:tc>
        <w:tc>
          <w:tcPr>
            <w:tcW w:w="8378" w:type="dxa"/>
            <w:vAlign w:val="center"/>
          </w:tcPr>
          <w:p w14:paraId="56D4E2C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10-11分：高效对接政府监管部门、合作方及纠纷相对方，沟通顺畅，能有效推动事项落地、维护公司权益；</w:t>
            </w:r>
          </w:p>
          <w:p w14:paraId="40DD963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6-9分：配合完成外部沟通，无明显阻碍，基本达成沟通目标；</w:t>
            </w:r>
          </w:p>
          <w:p w14:paraId="7EF520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0-5分：沟通不力，导致事项延误、矛盾激化或公司声誉受损。</w:t>
            </w:r>
          </w:p>
        </w:tc>
        <w:tc>
          <w:tcPr>
            <w:tcW w:w="983" w:type="dxa"/>
            <w:vAlign w:val="center"/>
          </w:tcPr>
          <w:p w14:paraId="7B1D571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</w:tr>
      <w:tr w14:paraId="0C45B817">
        <w:tc>
          <w:tcPr>
            <w:tcW w:w="1597" w:type="dxa"/>
            <w:vMerge w:val="continue"/>
            <w:vAlign w:val="center"/>
          </w:tcPr>
          <w:p w14:paraId="4699C0DA"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99" w:type="dxa"/>
            <w:vAlign w:val="center"/>
          </w:tcPr>
          <w:p w14:paraId="7F203F3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内部沟通协作</w:t>
            </w:r>
          </w:p>
        </w:tc>
        <w:tc>
          <w:tcPr>
            <w:tcW w:w="8378" w:type="dxa"/>
            <w:vAlign w:val="center"/>
          </w:tcPr>
          <w:p w14:paraId="617C935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8-9分：主动对接公司各部门，精准理解需求，反馈及时，协作高效；</w:t>
            </w:r>
          </w:p>
          <w:p w14:paraId="5C4663F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4-7分：按要求对接内部部门，基本配合完成工作；</w:t>
            </w:r>
          </w:p>
          <w:p w14:paraId="7BCDAE2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0-3分：沟通被动，需求理解偏差大，反馈不及时，影响团队效率。</w:t>
            </w:r>
          </w:p>
        </w:tc>
        <w:tc>
          <w:tcPr>
            <w:tcW w:w="983" w:type="dxa"/>
            <w:vAlign w:val="center"/>
          </w:tcPr>
          <w:p w14:paraId="1D8EEBB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</w:tr>
      <w:tr w14:paraId="644A20D4">
        <w:trPr>
          <w:trHeight w:val="562" w:hRule="atLeast"/>
        </w:trPr>
        <w:tc>
          <w:tcPr>
            <w:tcW w:w="12074" w:type="dxa"/>
            <w:gridSpan w:val="3"/>
            <w:vAlign w:val="center"/>
          </w:tcPr>
          <w:p w14:paraId="5F4D582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总分及评价等级：90-100分（优秀）、80-89分（良好）、70-69（合格）、＜70分（不合格）</w:t>
            </w:r>
          </w:p>
        </w:tc>
        <w:tc>
          <w:tcPr>
            <w:tcW w:w="983" w:type="dxa"/>
            <w:vAlign w:val="center"/>
          </w:tcPr>
          <w:p w14:paraId="2B08BBC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100</w:t>
            </w:r>
          </w:p>
        </w:tc>
      </w:tr>
    </w:tbl>
    <w:p w14:paraId="53714BB3">
      <w:pPr>
        <w:pStyle w:val="2"/>
        <w:numPr>
          <w:ilvl w:val="3"/>
          <w:numId w:val="0"/>
        </w:numPr>
        <w:spacing w:before="0" w:after="0" w:line="240" w:lineRule="auto"/>
        <w:ind w:leftChars="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sectPr>
          <w:footerReference r:id="rId3" w:type="default"/>
          <w:pgSz w:w="16838" w:h="11906" w:orient="landscape"/>
          <w:pgMar w:top="1588" w:right="2098" w:bottom="1474" w:left="1985" w:header="851" w:footer="992" w:gutter="0"/>
          <w:pgNumType w:fmt="numberInDash"/>
          <w:cols w:space="720" w:num="1"/>
          <w:docGrid w:type="lines" w:linePitch="312" w:charSpace="0"/>
        </w:sectPr>
      </w:pPr>
    </w:p>
    <w:p w14:paraId="3A9B22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5868BB7">
      <w:pPr>
        <w:pStyle w:val="2"/>
        <w:numPr>
          <w:ilvl w:val="3"/>
          <w:numId w:val="0"/>
        </w:numPr>
        <w:ind w:leftChars="0"/>
        <w:rPr>
          <w:rFonts w:hint="eastAsia"/>
          <w:lang w:val="en-US" w:eastAsia="zh-CN"/>
        </w:rPr>
        <w:sectPr>
          <w:type w:val="continuous"/>
          <w:pgSz w:w="16838" w:h="11906" w:orient="landscape"/>
          <w:pgMar w:top="1588" w:right="2098" w:bottom="1474" w:left="1985" w:header="851" w:footer="992" w:gutter="0"/>
          <w:pgNumType w:fmt="numberInDash"/>
          <w:cols w:space="720" w:num="1"/>
          <w:docGrid w:type="lines" w:linePitch="312" w:charSpace="0"/>
        </w:sectPr>
      </w:pPr>
    </w:p>
    <w:p w14:paraId="634A328D">
      <w:pPr>
        <w:jc w:val="center"/>
        <w:rPr>
          <w:rFonts w:hint="default"/>
          <w:lang w:val="en-US" w:eastAsia="zh-CN"/>
        </w:rPr>
      </w:pPr>
    </w:p>
    <w:sectPr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  <w:embedRegular r:id="rId1" w:fontKey="{26E35E1F-F418-A69A-24CA-CD69E9E24B04}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6157EF43-668F-4EAA-24CA-CD69786AF881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B18F6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A2A03">
                          <w:pPr>
                            <w:pStyle w:val="1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FA2A03">
                    <w:pPr>
                      <w:pStyle w:val="1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29"/>
    <w:multiLevelType w:val="multilevel"/>
    <w:tmpl w:val="00000029"/>
    <w:lvl w:ilvl="0" w:tentative="0">
      <w:start w:val="1"/>
      <w:numFmt w:val="decimal"/>
      <w:lvlText w:val="第%1章"/>
      <w:lvlJc w:val="left"/>
      <w:pPr>
        <w:ind w:left="3311" w:hanging="431"/>
      </w:pPr>
      <w:rPr>
        <w:rFonts w:hint="eastAsia" w:ascii="仿宋_GB2312" w:hAnsi="Cambria Math" w:eastAsia="仿宋_GB2312"/>
        <w:b/>
        <w:i w:val="0"/>
        <w:sz w:val="32"/>
      </w:rPr>
    </w:lvl>
    <w:lvl w:ilvl="1" w:tentative="0">
      <w:start w:val="1"/>
      <w:numFmt w:val="decimal"/>
      <w:lvlText w:val="%1.%2"/>
      <w:lvlJc w:val="left"/>
      <w:pPr>
        <w:ind w:left="3780" w:hanging="431"/>
      </w:pPr>
      <w:rPr>
        <w:rFonts w:hint="eastAsia" w:ascii="仿宋_GB2312" w:hAnsi="Times New Roman" w:eastAsia="仿宋_GB2312" w:cs="Times New Roman"/>
        <w:b/>
        <w:i w:val="0"/>
        <w:sz w:val="24"/>
        <w:szCs w:val="24"/>
      </w:rPr>
    </w:lvl>
    <w:lvl w:ilvl="2" w:tentative="0">
      <w:start w:val="1"/>
      <w:numFmt w:val="decimal"/>
      <w:lvlText w:val="%1.%2.%3"/>
      <w:lvlJc w:val="left"/>
      <w:pPr>
        <w:ind w:left="3922" w:hanging="431"/>
      </w:pPr>
      <w:rPr>
        <w:rFonts w:hint="eastAsia" w:ascii="仿宋_GB2312" w:hAnsi="Times New Roman" w:eastAsia="仿宋_GB2312" w:cs="Times New Roman"/>
        <w:b/>
        <w:i w:val="0"/>
        <w:sz w:val="24"/>
        <w:szCs w:val="24"/>
      </w:rPr>
    </w:lvl>
    <w:lvl w:ilvl="3" w:tentative="0">
      <w:start w:val="1"/>
      <w:numFmt w:val="decimal"/>
      <w:pStyle w:val="2"/>
      <w:isLgl/>
      <w:lvlText w:val="%1.%2.%3.%4"/>
      <w:lvlJc w:val="left"/>
      <w:pPr>
        <w:ind w:left="3780" w:hanging="431"/>
      </w:pPr>
      <w:rPr>
        <w:rFonts w:hint="eastAsia" w:ascii="仿宋_GB2312" w:hAnsi="Times New Roman" w:eastAsia="仿宋_GB2312" w:cs="Times New Roman"/>
        <w:b/>
        <w:i w:val="0"/>
        <w:sz w:val="24"/>
        <w:szCs w:val="24"/>
      </w:rPr>
    </w:lvl>
    <w:lvl w:ilvl="4" w:tentative="0">
      <w:start w:val="1"/>
      <w:numFmt w:val="decimal"/>
      <w:lvlText w:val="%1.%2.%3.%4.%5"/>
      <w:lvlJc w:val="left"/>
      <w:pPr>
        <w:ind w:left="900" w:hanging="431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900" w:hanging="431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900" w:hanging="431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900" w:hanging="431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900" w:hanging="43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k2ZTNhZDBlYjA3M2M5ZTQzYTgwMjNkMzRkNmJmNmUifQ=="/>
  </w:docVars>
  <w:rsids>
    <w:rsidRoot w:val="00434643"/>
    <w:rsid w:val="000476EC"/>
    <w:rsid w:val="00070C4A"/>
    <w:rsid w:val="00081EC2"/>
    <w:rsid w:val="000C1D0C"/>
    <w:rsid w:val="00247590"/>
    <w:rsid w:val="0027657F"/>
    <w:rsid w:val="00290A67"/>
    <w:rsid w:val="002A3B73"/>
    <w:rsid w:val="002C11F0"/>
    <w:rsid w:val="002C20F8"/>
    <w:rsid w:val="002C5299"/>
    <w:rsid w:val="00332F46"/>
    <w:rsid w:val="00375027"/>
    <w:rsid w:val="003858CE"/>
    <w:rsid w:val="00402FB2"/>
    <w:rsid w:val="00405721"/>
    <w:rsid w:val="00434643"/>
    <w:rsid w:val="00464329"/>
    <w:rsid w:val="004D69DA"/>
    <w:rsid w:val="00513E68"/>
    <w:rsid w:val="005C0EF1"/>
    <w:rsid w:val="005E4954"/>
    <w:rsid w:val="005E6111"/>
    <w:rsid w:val="00691554"/>
    <w:rsid w:val="006A0A38"/>
    <w:rsid w:val="006B2277"/>
    <w:rsid w:val="006F2AF2"/>
    <w:rsid w:val="00747A88"/>
    <w:rsid w:val="007C21C7"/>
    <w:rsid w:val="008146F9"/>
    <w:rsid w:val="00823693"/>
    <w:rsid w:val="00831D12"/>
    <w:rsid w:val="00832FA4"/>
    <w:rsid w:val="008D4754"/>
    <w:rsid w:val="008F5BF2"/>
    <w:rsid w:val="00901C25"/>
    <w:rsid w:val="00A11114"/>
    <w:rsid w:val="00A160ED"/>
    <w:rsid w:val="00A339BD"/>
    <w:rsid w:val="00A441B4"/>
    <w:rsid w:val="00A53B62"/>
    <w:rsid w:val="00A6306B"/>
    <w:rsid w:val="00B62D72"/>
    <w:rsid w:val="00BC36DC"/>
    <w:rsid w:val="00C33F99"/>
    <w:rsid w:val="00C56089"/>
    <w:rsid w:val="00CB3A18"/>
    <w:rsid w:val="00D22E04"/>
    <w:rsid w:val="00D27D43"/>
    <w:rsid w:val="00D8033F"/>
    <w:rsid w:val="00DA15B3"/>
    <w:rsid w:val="00DF4428"/>
    <w:rsid w:val="00E63B15"/>
    <w:rsid w:val="00ED32B7"/>
    <w:rsid w:val="00F47AA4"/>
    <w:rsid w:val="00F87268"/>
    <w:rsid w:val="00FB185A"/>
    <w:rsid w:val="014423AF"/>
    <w:rsid w:val="02975B5E"/>
    <w:rsid w:val="04526B80"/>
    <w:rsid w:val="06173D21"/>
    <w:rsid w:val="08831407"/>
    <w:rsid w:val="09622C8A"/>
    <w:rsid w:val="0A553462"/>
    <w:rsid w:val="0A6D7B38"/>
    <w:rsid w:val="0AE421FF"/>
    <w:rsid w:val="0AEB4610"/>
    <w:rsid w:val="0B097861"/>
    <w:rsid w:val="0C12450D"/>
    <w:rsid w:val="0D45612B"/>
    <w:rsid w:val="0E194318"/>
    <w:rsid w:val="13C2092A"/>
    <w:rsid w:val="14495172"/>
    <w:rsid w:val="145F3FCF"/>
    <w:rsid w:val="14C02804"/>
    <w:rsid w:val="17AE045E"/>
    <w:rsid w:val="1E497454"/>
    <w:rsid w:val="1F7A1E56"/>
    <w:rsid w:val="20111D4A"/>
    <w:rsid w:val="247B17AA"/>
    <w:rsid w:val="269C6EB1"/>
    <w:rsid w:val="26F70A5D"/>
    <w:rsid w:val="27BC63E9"/>
    <w:rsid w:val="28E47DD2"/>
    <w:rsid w:val="2E61338C"/>
    <w:rsid w:val="2E776695"/>
    <w:rsid w:val="312A28E8"/>
    <w:rsid w:val="31C559E0"/>
    <w:rsid w:val="33477704"/>
    <w:rsid w:val="37FD78B9"/>
    <w:rsid w:val="39CC413E"/>
    <w:rsid w:val="3BCB1B07"/>
    <w:rsid w:val="3F4C0A6E"/>
    <w:rsid w:val="3FBB6826"/>
    <w:rsid w:val="408F2652"/>
    <w:rsid w:val="428D4D7A"/>
    <w:rsid w:val="45056E60"/>
    <w:rsid w:val="45FF8756"/>
    <w:rsid w:val="483F0BC1"/>
    <w:rsid w:val="49ED71AF"/>
    <w:rsid w:val="4BA36143"/>
    <w:rsid w:val="4EFD50D2"/>
    <w:rsid w:val="4FC41A15"/>
    <w:rsid w:val="50AF31EB"/>
    <w:rsid w:val="51483093"/>
    <w:rsid w:val="57A9307D"/>
    <w:rsid w:val="5BF593FC"/>
    <w:rsid w:val="5C4C3DA9"/>
    <w:rsid w:val="5C7707F8"/>
    <w:rsid w:val="5DB470DB"/>
    <w:rsid w:val="636E4CE4"/>
    <w:rsid w:val="652EF1AC"/>
    <w:rsid w:val="661C44DC"/>
    <w:rsid w:val="67F404FC"/>
    <w:rsid w:val="68E94D88"/>
    <w:rsid w:val="6AB13195"/>
    <w:rsid w:val="6D283422"/>
    <w:rsid w:val="714B525B"/>
    <w:rsid w:val="7B5A4C40"/>
    <w:rsid w:val="7BAE0860"/>
    <w:rsid w:val="7BDF6C6B"/>
    <w:rsid w:val="7C1C3A1B"/>
    <w:rsid w:val="7E6AE6E1"/>
    <w:rsid w:val="7F5259A6"/>
    <w:rsid w:val="7FBBA29F"/>
    <w:rsid w:val="CB7BDAE9"/>
    <w:rsid w:val="DDADB4F8"/>
    <w:rsid w:val="EABD1CEE"/>
    <w:rsid w:val="F667F00F"/>
    <w:rsid w:val="F7FB6A82"/>
    <w:rsid w:val="F89E80C3"/>
    <w:rsid w:val="FB3F9BAB"/>
    <w:rsid w:val="FEFFA763"/>
    <w:rsid w:val="FFDF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nhideWhenUsed="0" w:uiPriority="0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sz w:val="32"/>
    </w:rPr>
  </w:style>
  <w:style w:type="paragraph" w:styleId="2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1080"/>
      </w:tabs>
      <w:adjustRightInd w:val="0"/>
      <w:spacing w:before="120" w:after="120" w:line="360" w:lineRule="auto"/>
      <w:ind w:left="0" w:firstLine="0"/>
      <w:outlineLvl w:val="3"/>
    </w:pPr>
    <w:rPr>
      <w:rFonts w:ascii="等线 Light" w:hAnsi="等线 Light" w:eastAsia="等线 Light"/>
      <w:b/>
      <w:kern w:val="0"/>
      <w:sz w:val="28"/>
      <w:szCs w:val="28"/>
      <w:lang w:val="zh-CN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index 8"/>
    <w:basedOn w:val="1"/>
    <w:next w:val="1"/>
    <w:qFormat/>
    <w:uiPriority w:val="0"/>
    <w:pPr>
      <w:ind w:left="1400" w:leftChars="14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Plain Text"/>
    <w:basedOn w:val="1"/>
    <w:next w:val="6"/>
    <w:unhideWhenUsed/>
    <w:qFormat/>
    <w:uiPriority w:val="99"/>
    <w:rPr>
      <w:rFonts w:ascii="宋体" w:cs="Courier New"/>
      <w:szCs w:val="21"/>
    </w:rPr>
  </w:style>
  <w:style w:type="paragraph" w:styleId="9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13">
    <w:name w:val="Table Grid"/>
    <w:basedOn w:val="12"/>
    <w:semiHidden/>
    <w:unhideWhenUsed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批注框文本 字符"/>
    <w:basedOn w:val="14"/>
    <w:link w:val="9"/>
    <w:semiHidden/>
    <w:qFormat/>
    <w:uiPriority w:val="99"/>
    <w:rPr>
      <w:rFonts w:ascii="Calibri" w:hAnsi="Calibri" w:eastAsia="宋体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1239</Words>
  <Characters>1363</Characters>
  <Lines>7</Lines>
  <Paragraphs>2</Paragraphs>
  <TotalTime>10</TotalTime>
  <ScaleCrop>false</ScaleCrop>
  <LinksUpToDate>false</LinksUpToDate>
  <CharactersWithSpaces>1363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2020-08-30T10:57:00Z</dcterms:created>
  <dc:creator>胥峻</dc:creator>
  <cp:lastModifiedBy>清one色</cp:lastModifiedBy>
  <dcterms:modified xsi:type="dcterms:W3CDTF">2026-04-02T09:45:08Z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7727BA2DF4C84E52992D2D647BF49E90_13</vt:lpwstr>
  </property>
  <property fmtid="{D5CDD505-2E9C-101B-9397-08002B2CF9AE}" pid="4" name="KSOTemplateDocerSaveRecord">
    <vt:lpwstr>eyJoZGlkIjoiM2U1NDNiMDkwYTY4ZDUyY2NiMDQ3ZjlhNDA0YWVjYzQiLCJ1c2VySWQiOiI1NTUyMzY5MjUifQ==</vt:lpwstr>
  </property>
</Properties>
</file>